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6C" w:rsidRDefault="00616A6C" w:rsidP="008F7122">
      <w:r>
        <w:rPr>
          <w:rFonts w:hint="eastAsia"/>
        </w:rPr>
        <w:t xml:space="preserve">先行的献腎移植登録審査基準の変更に関するお知らせとお願い　</w:t>
      </w:r>
    </w:p>
    <w:p w:rsidR="00616A6C" w:rsidRPr="008C6DFC" w:rsidRDefault="00616A6C" w:rsidP="008F7122"/>
    <w:p w:rsidR="00616A6C" w:rsidRDefault="00616A6C" w:rsidP="008F7122">
      <w:r>
        <w:rPr>
          <w:rFonts w:hint="eastAsia"/>
        </w:rPr>
        <w:t>先行的献腎移植登録審査委員会は日本腎臓学会の活動として関連学会、日本移植学会、日本透析医学会、日本小児科学会、日本臨床腎移植学会と共同で審査を行ってきました。</w:t>
      </w:r>
      <w:r>
        <w:t>2013</w:t>
      </w:r>
      <w:r>
        <w:rPr>
          <w:rFonts w:hint="eastAsia"/>
        </w:rPr>
        <w:t>年</w:t>
      </w:r>
      <w:r>
        <w:t>7</w:t>
      </w:r>
      <w:r>
        <w:rPr>
          <w:rFonts w:hint="eastAsia"/>
        </w:rPr>
        <w:t>月に審査を開始してから</w:t>
      </w:r>
      <w:r>
        <w:t>250</w:t>
      </w:r>
      <w:r>
        <w:rPr>
          <w:rFonts w:hint="eastAsia"/>
        </w:rPr>
        <w:t>件を超す審査依頼があり、基準に従って審査を行ってきました。</w:t>
      </w:r>
    </w:p>
    <w:p w:rsidR="00616A6C" w:rsidRDefault="00616A6C" w:rsidP="008F7122">
      <w:r>
        <w:rPr>
          <w:rFonts w:hint="eastAsia"/>
        </w:rPr>
        <w:t>審査開始当初に見られた登録基準に適合しない申請は激減し、最近の申請例は殆どが登録適合基準を満たしています。</w:t>
      </w:r>
    </w:p>
    <w:p w:rsidR="00616A6C" w:rsidRDefault="00616A6C" w:rsidP="008F7122">
      <w:r>
        <w:rPr>
          <w:rFonts w:hint="eastAsia"/>
        </w:rPr>
        <w:t>周知のように日本臓器移植ネットワークに献腎移植登録申請からレシピエントとして選定され腎移植手術を受けるまでの平均期間は成人例では</w:t>
      </w:r>
      <w:r>
        <w:t>15</w:t>
      </w:r>
      <w:r>
        <w:rPr>
          <w:rFonts w:hint="eastAsia"/>
        </w:rPr>
        <w:t>年以上となっています。</w:t>
      </w:r>
    </w:p>
    <w:p w:rsidR="00616A6C" w:rsidRDefault="00616A6C" w:rsidP="008F7122">
      <w:r>
        <w:rPr>
          <w:rFonts w:hint="eastAsia"/>
        </w:rPr>
        <w:t>実際、先行的献腎移植登録申請開始後に腎移植に至った症例は小児例と膵腎同時移植症例のみでした。</w:t>
      </w:r>
    </w:p>
    <w:p w:rsidR="00616A6C" w:rsidRDefault="00616A6C" w:rsidP="008F7122">
      <w:r>
        <w:t>2013</w:t>
      </w:r>
      <w:r>
        <w:rPr>
          <w:rFonts w:hint="eastAsia"/>
        </w:rPr>
        <w:t>年に先行的献腎移植登録申請審査を開始する段階で審査開始後適切な時期に審査制度の継続に関する見直しを行うことが決まっていました。</w:t>
      </w:r>
    </w:p>
    <w:p w:rsidR="00616A6C" w:rsidRDefault="00616A6C" w:rsidP="008F7122">
      <w:r>
        <w:rPr>
          <w:rFonts w:hint="eastAsia"/>
        </w:rPr>
        <w:t>最近の申請では登録基準に合致しない申請がほとんどないこと、成人では登録基準に合致しても腎移植までの期間が</w:t>
      </w:r>
      <w:r>
        <w:t>15</w:t>
      </w:r>
      <w:r>
        <w:rPr>
          <w:rFonts w:hint="eastAsia"/>
        </w:rPr>
        <w:t>年以上であるため、審査制度の見直しが検討されました。</w:t>
      </w:r>
    </w:p>
    <w:p w:rsidR="00616A6C" w:rsidRDefault="00616A6C" w:rsidP="008F7122">
      <w:r>
        <w:rPr>
          <w:rFonts w:hint="eastAsia"/>
        </w:rPr>
        <w:t>この制度を構築した日本腎臓学会の腎移植推進委員会での討議と日本移植学会での意見聴取後に、日本腎臓学会と日本臨床腎移植学会の理事会にて以下の審査対象変更に関する承認をいただきました。</w:t>
      </w:r>
    </w:p>
    <w:p w:rsidR="00616A6C" w:rsidRDefault="00616A6C" w:rsidP="008F7122">
      <w:r>
        <w:rPr>
          <w:rFonts w:hint="eastAsia"/>
        </w:rPr>
        <w:t>日本腎臓学会、日本移植学会、日本臨床腎移植学会、日本透析医学会、日本小児科学会と日本臓器移植ネットワークのホームページに先行的献腎移植登録審査対象の変更と手続きに関する情報を周知後に審査対象の変更を行います。</w:t>
      </w:r>
    </w:p>
    <w:p w:rsidR="00616A6C" w:rsidRDefault="00616A6C" w:rsidP="008F7122">
      <w:r>
        <w:t>2015</w:t>
      </w:r>
      <w:r>
        <w:rPr>
          <w:rFonts w:hint="eastAsia"/>
        </w:rPr>
        <w:t>年</w:t>
      </w:r>
      <w:r>
        <w:t>7</w:t>
      </w:r>
      <w:r>
        <w:rPr>
          <w:rFonts w:hint="eastAsia"/>
        </w:rPr>
        <w:t>月初旬にホームページ上で変更に関するお知らせを行い、</w:t>
      </w:r>
      <w:r>
        <w:t>2015</w:t>
      </w:r>
      <w:r>
        <w:rPr>
          <w:rFonts w:hint="eastAsia"/>
        </w:rPr>
        <w:t>年</w:t>
      </w:r>
      <w:r>
        <w:t>8</w:t>
      </w:r>
      <w:r>
        <w:rPr>
          <w:rFonts w:hint="eastAsia"/>
        </w:rPr>
        <w:t>月</w:t>
      </w:r>
      <w:r>
        <w:t>1</w:t>
      </w:r>
      <w:r>
        <w:rPr>
          <w:rFonts w:hint="eastAsia"/>
        </w:rPr>
        <w:t>日より審査対象を狭めた審査に変更いたします。</w:t>
      </w:r>
    </w:p>
    <w:p w:rsidR="00616A6C" w:rsidRDefault="00616A6C" w:rsidP="008F7122"/>
    <w:p w:rsidR="00616A6C" w:rsidRDefault="00616A6C" w:rsidP="008F7122">
      <w:r>
        <w:rPr>
          <w:rFonts w:hint="eastAsia"/>
        </w:rPr>
        <w:t>審査対象の変更について</w:t>
      </w:r>
    </w:p>
    <w:p w:rsidR="00616A6C" w:rsidRDefault="00616A6C" w:rsidP="008F7122">
      <w:pPr>
        <w:pStyle w:val="ListParagraph"/>
        <w:numPr>
          <w:ilvl w:val="1"/>
          <w:numId w:val="3"/>
        </w:numPr>
        <w:ind w:leftChars="0"/>
      </w:pPr>
      <w:r>
        <w:rPr>
          <w:rFonts w:hint="eastAsia"/>
        </w:rPr>
        <w:t>成人例は先行的献腎移植登録審査委員会への審査依頼は不要となります。各施設の責任で、登録基準に合致していることを確認後に日本臓器移植ネットワークに直接に申請ください。先行的献腎移植登録例であり、登録基準に合致していることを明確にするため現在使用している申請用紙に記載漏れがないように留意され、提出してください。</w:t>
      </w:r>
    </w:p>
    <w:p w:rsidR="00616A6C" w:rsidRDefault="00616A6C" w:rsidP="008F7122">
      <w:pPr>
        <w:pStyle w:val="ListParagraph"/>
        <w:numPr>
          <w:ilvl w:val="1"/>
          <w:numId w:val="3"/>
        </w:numPr>
        <w:ind w:leftChars="0"/>
      </w:pPr>
      <w:r>
        <w:rPr>
          <w:rFonts w:hint="eastAsia"/>
        </w:rPr>
        <w:t>小児例と膵腎同時移植、肝腎同時移植症例は従来と同様に先行的献腎移植登録審査委員会に審査依頼をお願いいたします。</w:t>
      </w:r>
    </w:p>
    <w:p w:rsidR="00616A6C" w:rsidRDefault="00616A6C" w:rsidP="008F7122">
      <w:pPr>
        <w:pStyle w:val="ListParagraph"/>
        <w:numPr>
          <w:ilvl w:val="1"/>
          <w:numId w:val="3"/>
        </w:numPr>
        <w:ind w:leftChars="0"/>
      </w:pPr>
      <w:r>
        <w:rPr>
          <w:rFonts w:hint="eastAsia"/>
        </w:rPr>
        <w:t>先行的献腎移植登録審査依頼の宛先アドレスが変更されます。</w:t>
      </w:r>
    </w:p>
    <w:p w:rsidR="00616A6C" w:rsidRDefault="00616A6C" w:rsidP="008F7122">
      <w:pPr>
        <w:pStyle w:val="ListParagraph"/>
        <w:ind w:leftChars="0" w:left="360"/>
      </w:pPr>
      <w:r>
        <w:rPr>
          <w:rFonts w:hint="eastAsia"/>
        </w:rPr>
        <w:t xml:space="preserve">　　　</w:t>
      </w:r>
      <w:hyperlink r:id="rId5" w:history="1">
        <w:r w:rsidRPr="006E7DBC">
          <w:rPr>
            <w:rStyle w:val="Hyperlink"/>
          </w:rPr>
          <w:t>morozumi@masuko.or.jp</w:t>
        </w:r>
      </w:hyperlink>
      <w:r>
        <w:rPr>
          <w:rFonts w:hint="eastAsia"/>
        </w:rPr>
        <w:t xml:space="preserve">　　増子記念病院　両角國男　宛にお願いします。</w:t>
      </w:r>
    </w:p>
    <w:p w:rsidR="00616A6C" w:rsidRDefault="00616A6C" w:rsidP="008F7122">
      <w:pPr>
        <w:pStyle w:val="ListParagraph"/>
        <w:ind w:leftChars="0" w:left="360"/>
      </w:pPr>
      <w:r>
        <w:br w:type="page"/>
      </w:r>
    </w:p>
    <w:p w:rsidR="00616A6C" w:rsidRDefault="00616A6C" w:rsidP="008F7122">
      <w:pPr>
        <w:pStyle w:val="ListParagraph"/>
        <w:numPr>
          <w:ilvl w:val="1"/>
          <w:numId w:val="3"/>
        </w:numPr>
        <w:ind w:leftChars="0"/>
      </w:pPr>
      <w:r>
        <w:rPr>
          <w:rFonts w:hint="eastAsia"/>
        </w:rPr>
        <w:t>先行的献腎移植登録基準は、進行性腎機能低下の存在と</w:t>
      </w:r>
      <w:r>
        <w:t>1</w:t>
      </w:r>
      <w:r>
        <w:rPr>
          <w:rFonts w:hint="eastAsia"/>
        </w:rPr>
        <w:t>年間の腎機能</w:t>
      </w:r>
      <w:r>
        <w:t>(eGFR)</w:t>
      </w:r>
      <w:r>
        <w:rPr>
          <w:rFonts w:hint="eastAsia"/>
        </w:rPr>
        <w:t>です。進行性評価には腎尿路系の画像評価が重要ですので記載をお願いいたします。また、継続審査対象となる小児例、膵腎同時移植、肝腎同時移植では申請から登録後早期の腎移植レシピエントに選定される可能性が高いと考えます。従って、ウイルス感染症の検査に関しては審査依頼時には実施済であることが望まれます。</w:t>
      </w:r>
    </w:p>
    <w:p w:rsidR="00616A6C" w:rsidRDefault="00616A6C" w:rsidP="008F7122">
      <w:pPr>
        <w:pStyle w:val="ListParagraph"/>
        <w:numPr>
          <w:ilvl w:val="1"/>
          <w:numId w:val="3"/>
        </w:numPr>
        <w:ind w:leftChars="0"/>
      </w:pPr>
      <w:r>
        <w:rPr>
          <w:rFonts w:hint="eastAsia"/>
        </w:rPr>
        <w:t>登録審査が必要な小児例では、</w:t>
      </w:r>
      <w:r>
        <w:t>18</w:t>
      </w:r>
      <w:r>
        <w:rPr>
          <w:rFonts w:hint="eastAsia"/>
        </w:rPr>
        <w:t>歳にて適応される腎機能推算式</w:t>
      </w:r>
      <w:r>
        <w:t>(eGFR)</w:t>
      </w:r>
      <w:r>
        <w:rPr>
          <w:rFonts w:hint="eastAsia"/>
        </w:rPr>
        <w:t>が異なります。ご留意ください。</w:t>
      </w:r>
    </w:p>
    <w:p w:rsidR="00616A6C" w:rsidRDefault="00616A6C" w:rsidP="008F7122"/>
    <w:p w:rsidR="00616A6C" w:rsidRPr="00B42548" w:rsidRDefault="00616A6C" w:rsidP="008F7122">
      <w:r>
        <w:rPr>
          <w:rFonts w:hint="eastAsia"/>
        </w:rPr>
        <w:t>注記：</w:t>
      </w:r>
    </w:p>
    <w:p w:rsidR="00616A6C" w:rsidRDefault="00616A6C" w:rsidP="008F7122">
      <w:pPr>
        <w:pStyle w:val="ListParagraph"/>
        <w:numPr>
          <w:ilvl w:val="2"/>
          <w:numId w:val="3"/>
        </w:numPr>
        <w:ind w:leftChars="0"/>
      </w:pPr>
      <w:r>
        <w:rPr>
          <w:rFonts w:hint="eastAsia"/>
        </w:rPr>
        <w:t>日本人小児用</w:t>
      </w:r>
      <w:r>
        <w:t>eGFR</w:t>
      </w:r>
      <w:r>
        <w:rPr>
          <w:rFonts w:hint="eastAsia"/>
        </w:rPr>
        <w:t>は</w:t>
      </w:r>
      <w:r>
        <w:t>2</w:t>
      </w:r>
      <w:r>
        <w:rPr>
          <w:rFonts w:hint="eastAsia"/>
        </w:rPr>
        <w:t>歳から</w:t>
      </w:r>
      <w:r>
        <w:t>19</w:t>
      </w:r>
      <w:r>
        <w:rPr>
          <w:rFonts w:hint="eastAsia"/>
        </w:rPr>
        <w:t>歳未満に適応されるため、従来の成人用</w:t>
      </w:r>
      <w:r>
        <w:t>eGFR</w:t>
      </w:r>
      <w:r>
        <w:rPr>
          <w:rFonts w:hint="eastAsia"/>
        </w:rPr>
        <w:t>推算式（</w:t>
      </w:r>
      <w:r>
        <w:t>194</w:t>
      </w:r>
      <w:r>
        <w:rPr>
          <w:rFonts w:hint="eastAsia"/>
        </w:rPr>
        <w:t>式）と小児用</w:t>
      </w:r>
      <w:r>
        <w:t>Schwartz</w:t>
      </w:r>
      <w:r>
        <w:rPr>
          <w:rFonts w:hint="eastAsia"/>
        </w:rPr>
        <w:t>推算式の適応年齢区分の</w:t>
      </w:r>
      <w:r>
        <w:t>20</w:t>
      </w:r>
      <w:r>
        <w:rPr>
          <w:rFonts w:hint="eastAsia"/>
        </w:rPr>
        <w:t>歳を変更する必要がある。今後、</w:t>
      </w:r>
      <w:r>
        <w:t>19</w:t>
      </w:r>
      <w:r>
        <w:rPr>
          <w:rFonts w:hint="eastAsia"/>
        </w:rPr>
        <w:t>歳未満には新しい小児用</w:t>
      </w:r>
      <w:r>
        <w:t>eGFR</w:t>
      </w:r>
      <w:r>
        <w:rPr>
          <w:rFonts w:hint="eastAsia"/>
        </w:rPr>
        <w:t>推算式を適応し、</w:t>
      </w:r>
      <w:r>
        <w:t>19</w:t>
      </w:r>
      <w:r>
        <w:rPr>
          <w:rFonts w:hint="eastAsia"/>
        </w:rPr>
        <w:t>歳以上には成人推算式（</w:t>
      </w:r>
      <w:r>
        <w:t>194</w:t>
      </w:r>
      <w:r>
        <w:rPr>
          <w:rFonts w:hint="eastAsia"/>
        </w:rPr>
        <w:t>式）を適応する。</w:t>
      </w:r>
    </w:p>
    <w:p w:rsidR="00616A6C" w:rsidRDefault="00616A6C" w:rsidP="008F7122">
      <w:pPr>
        <w:pStyle w:val="ListParagraph"/>
        <w:numPr>
          <w:ilvl w:val="2"/>
          <w:numId w:val="3"/>
        </w:numPr>
        <w:ind w:leftChars="0"/>
      </w:pPr>
      <w:r>
        <w:rPr>
          <w:rFonts w:hint="eastAsia"/>
        </w:rPr>
        <w:t>先天性腎尿路疾患（</w:t>
      </w:r>
      <w:r>
        <w:t>CAKUT</w:t>
      </w:r>
      <w:r>
        <w:rPr>
          <w:rFonts w:hint="eastAsia"/>
        </w:rPr>
        <w:t>）からの不可逆性高度腎機能障害は検尿異常</w:t>
      </w:r>
    </w:p>
    <w:p w:rsidR="00616A6C" w:rsidRDefault="00616A6C" w:rsidP="008F7122">
      <w:pPr>
        <w:pStyle w:val="ListParagraph"/>
        <w:ind w:leftChars="0" w:left="720"/>
      </w:pPr>
      <w:r>
        <w:rPr>
          <w:rFonts w:hint="eastAsia"/>
        </w:rPr>
        <w:t>を伴わないことが多く発見が遅れやすいため、先行的献腎移植登録の必要条件である</w:t>
      </w:r>
      <w:r>
        <w:t>1</w:t>
      </w:r>
      <w:r>
        <w:rPr>
          <w:rFonts w:hint="eastAsia"/>
        </w:rPr>
        <w:t>年間の経過を観察すると腎移植の利点が失われるため半年以内の３ポイントで審査可能とする。</w:t>
      </w:r>
    </w:p>
    <w:p w:rsidR="00616A6C" w:rsidRPr="008F7122" w:rsidRDefault="00616A6C" w:rsidP="001A2F2C"/>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r w:rsidRPr="00EC44EA">
        <w:rPr>
          <w:rFonts w:ascii="ＭＳ 明朝" w:hAnsi="ＭＳ 明朝" w:cs="ＭＳ ゴシック" w:hint="eastAsia"/>
          <w:color w:val="000000"/>
          <w:kern w:val="0"/>
          <w:sz w:val="24"/>
          <w:szCs w:val="24"/>
        </w:rPr>
        <w:t>申請先は、審査の取りまとめを日本腎臓学会・腎移植推進委員会がおこないます。申請は、腎移植推進委員会アドバイザー　両角國男　宛にデータ入力した</w:t>
      </w:r>
      <w:r w:rsidRPr="00EC44EA">
        <w:rPr>
          <w:rFonts w:ascii="ＭＳ 明朝" w:hAnsi="ＭＳ 明朝" w:cs="ＭＳ ゴシック"/>
          <w:color w:val="000000"/>
          <w:kern w:val="0"/>
          <w:sz w:val="24"/>
          <w:szCs w:val="24"/>
        </w:rPr>
        <w:t>EXCEL</w:t>
      </w:r>
      <w:r w:rsidRPr="00EC44EA">
        <w:rPr>
          <w:rFonts w:ascii="ＭＳ 明朝" w:hAnsi="ＭＳ 明朝" w:cs="ＭＳ ゴシック" w:hint="eastAsia"/>
          <w:color w:val="000000"/>
          <w:kern w:val="0"/>
          <w:sz w:val="24"/>
          <w:szCs w:val="24"/>
        </w:rPr>
        <w:t>ファイルをメールに添付して申請用紙をお送りください。</w:t>
      </w: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r w:rsidRPr="00EC44EA">
        <w:rPr>
          <w:rFonts w:ascii="ＭＳ 明朝" w:hAnsi="ＭＳ 明朝" w:cs="ＭＳ ゴシック" w:hint="eastAsia"/>
          <w:color w:val="000000"/>
          <w:kern w:val="0"/>
          <w:sz w:val="24"/>
          <w:szCs w:val="24"/>
        </w:rPr>
        <w:t>送付先メールアドレスは</w:t>
      </w:r>
      <w:r w:rsidRPr="00EC44EA">
        <w:rPr>
          <w:rFonts w:ascii="ＭＳ 明朝" w:hAnsi="ＭＳ 明朝" w:cs="ＭＳ ゴシック"/>
          <w:color w:val="000000"/>
          <w:kern w:val="0"/>
          <w:sz w:val="24"/>
          <w:szCs w:val="24"/>
        </w:rPr>
        <w:t xml:space="preserve">morozumi@masuko.or.jp </w:t>
      </w:r>
      <w:r w:rsidRPr="00EC44EA">
        <w:rPr>
          <w:rFonts w:ascii="ＭＳ 明朝" w:hAnsi="ＭＳ 明朝" w:cs="ＭＳ ゴシック" w:hint="eastAsia"/>
          <w:color w:val="000000"/>
          <w:kern w:val="0"/>
          <w:sz w:val="24"/>
          <w:szCs w:val="24"/>
        </w:rPr>
        <w:t>です。</w:t>
      </w: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r w:rsidRPr="00EC44EA">
        <w:rPr>
          <w:rFonts w:ascii="ＭＳ 明朝" w:hAnsi="ＭＳ 明朝" w:cs="ＭＳ ゴシック" w:hint="eastAsia"/>
          <w:color w:val="000000"/>
          <w:kern w:val="0"/>
          <w:sz w:val="24"/>
          <w:szCs w:val="24"/>
        </w:rPr>
        <w:t>審査結果が登録基準を満たしている際には、日本臓器移植ネットワークに登録できる準備が整います。その後の登録料振込などの手続きは日本臓器移植ネットワークとでお進め下さい。</w:t>
      </w: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r w:rsidRPr="00EC44EA">
        <w:rPr>
          <w:rFonts w:ascii="ＭＳ 明朝" w:hAnsi="ＭＳ 明朝" w:cs="ＭＳ ゴシック" w:hint="eastAsia"/>
          <w:color w:val="000000"/>
          <w:kern w:val="0"/>
          <w:sz w:val="24"/>
          <w:szCs w:val="24"/>
        </w:rPr>
        <w:t>今回の先行的献腎移植登録に関する内容にご質問がありましたら以下にご連絡をお願いいたします。</w:t>
      </w: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r w:rsidRPr="00EC44EA">
        <w:rPr>
          <w:rFonts w:ascii="ＭＳ 明朝" w:hAnsi="ＭＳ 明朝" w:cs="ＭＳ ゴシック" w:hint="eastAsia"/>
          <w:color w:val="000000"/>
          <w:kern w:val="0"/>
          <w:sz w:val="24"/>
          <w:szCs w:val="24"/>
        </w:rPr>
        <w:t>〒</w:t>
      </w:r>
      <w:r w:rsidRPr="00EC44EA">
        <w:rPr>
          <w:rFonts w:ascii="ＭＳ 明朝" w:hAnsi="ＭＳ 明朝" w:cs="ＭＳ ゴシック"/>
          <w:color w:val="000000"/>
          <w:kern w:val="0"/>
          <w:sz w:val="24"/>
          <w:szCs w:val="24"/>
        </w:rPr>
        <w:t>453-8566</w:t>
      </w:r>
      <w:r w:rsidRPr="00EC44EA">
        <w:rPr>
          <w:rFonts w:ascii="ＭＳ 明朝" w:hAnsi="ＭＳ 明朝" w:cs="ＭＳ ゴシック" w:hint="eastAsia"/>
          <w:color w:val="000000"/>
          <w:kern w:val="0"/>
          <w:sz w:val="24"/>
          <w:szCs w:val="24"/>
        </w:rPr>
        <w:t xml:space="preserve">　名古屋市中村区竹橋町</w:t>
      </w:r>
      <w:r w:rsidRPr="00EC44EA">
        <w:rPr>
          <w:rFonts w:ascii="ＭＳ 明朝" w:hAnsi="ＭＳ 明朝" w:cs="ＭＳ ゴシック"/>
          <w:color w:val="000000"/>
          <w:kern w:val="0"/>
          <w:sz w:val="24"/>
          <w:szCs w:val="24"/>
        </w:rPr>
        <w:t>35</w:t>
      </w:r>
      <w:r w:rsidRPr="00EC44EA">
        <w:rPr>
          <w:rFonts w:ascii="ＭＳ 明朝" w:hAnsi="ＭＳ 明朝" w:cs="ＭＳ ゴシック" w:hint="eastAsia"/>
          <w:color w:val="000000"/>
          <w:kern w:val="0"/>
          <w:sz w:val="24"/>
          <w:szCs w:val="24"/>
        </w:rPr>
        <w:t>番</w:t>
      </w:r>
      <w:r w:rsidRPr="00EC44EA">
        <w:rPr>
          <w:rFonts w:ascii="ＭＳ 明朝" w:hAnsi="ＭＳ 明朝" w:cs="ＭＳ ゴシック"/>
          <w:color w:val="000000"/>
          <w:kern w:val="0"/>
          <w:sz w:val="24"/>
          <w:szCs w:val="24"/>
        </w:rPr>
        <w:t>28</w:t>
      </w:r>
      <w:r w:rsidRPr="00EC44EA">
        <w:rPr>
          <w:rFonts w:ascii="ＭＳ 明朝" w:hAnsi="ＭＳ 明朝" w:cs="ＭＳ ゴシック" w:hint="eastAsia"/>
          <w:color w:val="000000"/>
          <w:kern w:val="0"/>
          <w:sz w:val="24"/>
          <w:szCs w:val="24"/>
        </w:rPr>
        <w:t>号</w:t>
      </w: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r w:rsidRPr="00EC44EA">
        <w:rPr>
          <w:rFonts w:ascii="ＭＳ 明朝" w:hAnsi="ＭＳ 明朝" w:cs="ＭＳ ゴシック" w:hint="eastAsia"/>
          <w:color w:val="000000"/>
          <w:kern w:val="0"/>
          <w:sz w:val="24"/>
          <w:szCs w:val="24"/>
        </w:rPr>
        <w:t>特定医療法人　衆済会　増子記念病院　両角國男</w:t>
      </w: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rPr>
      </w:pPr>
      <w:r w:rsidRPr="00EC44EA">
        <w:rPr>
          <w:rFonts w:ascii="ＭＳ 明朝" w:hAnsi="ＭＳ 明朝" w:cs="ＭＳ ゴシック" w:hint="eastAsia"/>
          <w:color w:val="000000"/>
          <w:kern w:val="0"/>
          <w:sz w:val="24"/>
          <w:szCs w:val="24"/>
        </w:rPr>
        <w:t xml:space="preserve">℡　</w:t>
      </w:r>
      <w:r w:rsidRPr="00EC44EA">
        <w:rPr>
          <w:rFonts w:ascii="ＭＳ 明朝" w:hAnsi="ＭＳ 明朝" w:cs="ＭＳ ゴシック"/>
          <w:color w:val="000000"/>
          <w:kern w:val="0"/>
          <w:sz w:val="24"/>
          <w:szCs w:val="24"/>
        </w:rPr>
        <w:t>052-451-1307</w:t>
      </w:r>
      <w:r w:rsidRPr="00EC44EA">
        <w:rPr>
          <w:rFonts w:ascii="ＭＳ 明朝" w:hAnsi="ＭＳ 明朝" w:cs="ＭＳ ゴシック" w:hint="eastAsia"/>
          <w:color w:val="000000"/>
          <w:kern w:val="0"/>
          <w:sz w:val="24"/>
          <w:szCs w:val="24"/>
        </w:rPr>
        <w:t xml:space="preserve">　　</w:t>
      </w:r>
      <w:r w:rsidRPr="00EC44EA">
        <w:rPr>
          <w:rFonts w:ascii="ＭＳ 明朝" w:hAnsi="ＭＳ 明朝" w:cs="ＭＳ ゴシック"/>
          <w:color w:val="000000"/>
          <w:kern w:val="0"/>
          <w:sz w:val="24"/>
          <w:szCs w:val="24"/>
        </w:rPr>
        <w:t>Fax</w:t>
      </w:r>
      <w:r w:rsidRPr="00EC44EA">
        <w:rPr>
          <w:rFonts w:ascii="ＭＳ 明朝" w:hAnsi="ＭＳ 明朝" w:cs="ＭＳ ゴシック" w:hint="eastAsia"/>
          <w:color w:val="000000"/>
          <w:kern w:val="0"/>
          <w:sz w:val="24"/>
          <w:szCs w:val="24"/>
        </w:rPr>
        <w:t xml:space="preserve">　</w:t>
      </w:r>
      <w:r w:rsidRPr="00EC44EA">
        <w:rPr>
          <w:rFonts w:ascii="ＭＳ 明朝" w:hAnsi="ＭＳ 明朝" w:cs="ＭＳ ゴシック"/>
          <w:color w:val="000000"/>
          <w:kern w:val="0"/>
          <w:sz w:val="24"/>
          <w:szCs w:val="24"/>
        </w:rPr>
        <w:t>052-451-1360</w:t>
      </w:r>
    </w:p>
    <w:p w:rsidR="00616A6C" w:rsidRPr="00EC44EA" w:rsidRDefault="00616A6C" w:rsidP="00166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cs="ＭＳ ゴシック"/>
          <w:color w:val="000000"/>
          <w:kern w:val="0"/>
          <w:sz w:val="24"/>
          <w:szCs w:val="24"/>
          <w:u w:val="single"/>
        </w:rPr>
      </w:pPr>
      <w:r w:rsidRPr="00EC44EA">
        <w:rPr>
          <w:rFonts w:ascii="ＭＳ 明朝" w:hAnsi="ＭＳ 明朝" w:cs="ＭＳ ゴシック"/>
          <w:color w:val="000000"/>
          <w:kern w:val="0"/>
          <w:sz w:val="24"/>
          <w:szCs w:val="24"/>
          <w:u w:val="single"/>
        </w:rPr>
        <w:t>morozumi@masuko.or.jp</w:t>
      </w:r>
    </w:p>
    <w:p w:rsidR="00616A6C" w:rsidRPr="00EC44EA" w:rsidRDefault="00616A6C" w:rsidP="00D22455">
      <w:pPr>
        <w:widowControl/>
        <w:jc w:val="left"/>
      </w:pPr>
      <w:r w:rsidRPr="00EC44EA">
        <w:rPr>
          <w:rFonts w:cs="ＭＳ ゴシック"/>
          <w:color w:val="000000"/>
          <w:kern w:val="0"/>
          <w:sz w:val="24"/>
          <w:szCs w:val="24"/>
        </w:rPr>
        <w:br w:type="page"/>
      </w:r>
      <w:r w:rsidRPr="00EC44EA">
        <w:rPr>
          <w:rFonts w:hint="eastAsia"/>
        </w:rPr>
        <w:t>参考式</w:t>
      </w:r>
    </w:p>
    <w:p w:rsidR="00616A6C" w:rsidRPr="00EC44EA" w:rsidRDefault="00616A6C" w:rsidP="00BB41F1">
      <w:pPr>
        <w:ind w:firstLineChars="100" w:firstLine="31680"/>
        <w:rPr>
          <w:rFonts w:ascii="ＭＳ 明朝"/>
        </w:rPr>
      </w:pPr>
      <w:r w:rsidRPr="00EC44EA">
        <w:rPr>
          <w:rFonts w:ascii="ＭＳ 明朝" w:hAnsi="ＭＳ 明朝" w:hint="eastAsia"/>
        </w:rPr>
        <w:t>日本腎臓学会</w:t>
      </w:r>
      <w:r w:rsidRPr="00EC44EA">
        <w:rPr>
          <w:rFonts w:ascii="ＭＳ 明朝" w:hAnsi="ＭＳ 明朝"/>
        </w:rPr>
        <w:t>eGFR</w:t>
      </w:r>
      <w:r w:rsidRPr="00EC44EA">
        <w:rPr>
          <w:rFonts w:ascii="ＭＳ 明朝" w:hAnsi="ＭＳ 明朝" w:hint="eastAsia"/>
        </w:rPr>
        <w:t>推算式</w:t>
      </w:r>
      <w:r w:rsidRPr="00EC44EA">
        <w:rPr>
          <w:rFonts w:ascii="ＭＳ 明朝" w:hAnsi="ＭＳ 明朝"/>
        </w:rPr>
        <w:t>(194</w:t>
      </w:r>
      <w:r w:rsidRPr="00EC44EA">
        <w:rPr>
          <w:rFonts w:ascii="ＭＳ 明朝" w:hAnsi="ＭＳ 明朝" w:hint="eastAsia"/>
        </w:rPr>
        <w:t>式</w:t>
      </w:r>
      <w:r w:rsidRPr="00EC44EA">
        <w:rPr>
          <w:rFonts w:ascii="ＭＳ 明朝" w:hAnsi="ＭＳ 明朝"/>
        </w:rPr>
        <w:t>)</w:t>
      </w:r>
    </w:p>
    <w:p w:rsidR="00616A6C" w:rsidRPr="00EC44EA" w:rsidRDefault="00616A6C" w:rsidP="00BB41F1">
      <w:pPr>
        <w:pStyle w:val="ListParagraph"/>
        <w:ind w:left="31680"/>
        <w:rPr>
          <w:rFonts w:ascii="ＭＳ 明朝"/>
        </w:rPr>
      </w:pPr>
      <w:r w:rsidRPr="00EC44EA">
        <w:rPr>
          <w:rFonts w:ascii="ＭＳ 明朝" w:hAnsi="ＭＳ 明朝"/>
        </w:rPr>
        <w:t>eGFR (mL/</w:t>
      </w:r>
      <w:r w:rsidRPr="00EC44EA">
        <w:rPr>
          <w:rFonts w:ascii="ＭＳ 明朝" w:hAnsi="ＭＳ 明朝" w:hint="eastAsia"/>
        </w:rPr>
        <w:t>分</w:t>
      </w:r>
      <w:r w:rsidRPr="00EC44EA">
        <w:rPr>
          <w:rFonts w:ascii="ＭＳ 明朝" w:hAnsi="ＭＳ 明朝"/>
        </w:rPr>
        <w:t xml:space="preserve">/1.73 </w:t>
      </w:r>
      <w:r w:rsidRPr="00EC44EA">
        <w:rPr>
          <w:rFonts w:ascii="ＭＳ 明朝" w:hAnsi="ＭＳ 明朝" w:hint="eastAsia"/>
        </w:rPr>
        <w:t>㎡</w:t>
      </w:r>
      <w:r w:rsidRPr="00EC44EA">
        <w:rPr>
          <w:rFonts w:ascii="ＭＳ 明朝" w:hAnsi="ＭＳ 明朝"/>
        </w:rPr>
        <w:t>) = 194</w:t>
      </w:r>
      <w:r w:rsidRPr="00EC44EA">
        <w:rPr>
          <w:rFonts w:ascii="ＭＳ 明朝" w:hAnsi="ＭＳ 明朝" w:hint="eastAsia"/>
        </w:rPr>
        <w:t>×</w:t>
      </w:r>
      <w:r w:rsidRPr="00EC44EA">
        <w:rPr>
          <w:rFonts w:ascii="ＭＳ 明朝" w:hAnsi="ＭＳ 明朝"/>
        </w:rPr>
        <w:t>Cr</w:t>
      </w:r>
      <w:r w:rsidRPr="00EC44EA">
        <w:rPr>
          <w:rFonts w:ascii="ＭＳ 明朝" w:hAnsi="ＭＳ 明朝"/>
          <w:vertAlign w:val="superscript"/>
        </w:rPr>
        <w:t>-1.094</w:t>
      </w:r>
      <w:r w:rsidRPr="00EC44EA">
        <w:rPr>
          <w:rFonts w:ascii="ＭＳ 明朝" w:hAnsi="ＭＳ 明朝" w:hint="eastAsia"/>
        </w:rPr>
        <w:t>×年齢</w:t>
      </w:r>
      <w:r w:rsidRPr="00EC44EA">
        <w:rPr>
          <w:rFonts w:ascii="ＭＳ 明朝" w:hAnsi="ＭＳ 明朝"/>
          <w:vertAlign w:val="superscript"/>
        </w:rPr>
        <w:t>-0.287</w:t>
      </w:r>
      <w:r w:rsidRPr="00EC44EA">
        <w:rPr>
          <w:rFonts w:ascii="ＭＳ 明朝" w:hAnsi="ＭＳ 明朝"/>
        </w:rPr>
        <w:t xml:space="preserve"> </w:t>
      </w:r>
      <w:r w:rsidRPr="00EC44EA">
        <w:rPr>
          <w:rFonts w:ascii="ＭＳ 明朝" w:hAnsi="ＭＳ 明朝"/>
        </w:rPr>
        <w:tab/>
      </w:r>
      <w:r w:rsidRPr="00EC44EA">
        <w:rPr>
          <w:rFonts w:ascii="ＭＳ 明朝" w:hAnsi="ＭＳ 明朝"/>
        </w:rPr>
        <w:tab/>
      </w:r>
      <w:r w:rsidRPr="00EC44EA">
        <w:rPr>
          <w:rFonts w:ascii="ＭＳ 明朝" w:hAnsi="ＭＳ 明朝" w:hint="eastAsia"/>
        </w:rPr>
        <w:t>（男性）</w:t>
      </w:r>
    </w:p>
    <w:p w:rsidR="00616A6C" w:rsidRPr="00EC44EA" w:rsidRDefault="00616A6C" w:rsidP="0016650F">
      <w:pPr>
        <w:pStyle w:val="ListParagraph"/>
        <w:ind w:leftChars="0"/>
        <w:rPr>
          <w:rFonts w:ascii="ＭＳ 明朝"/>
        </w:rPr>
      </w:pPr>
      <w:r w:rsidRPr="00EC44EA">
        <w:rPr>
          <w:rFonts w:ascii="ＭＳ 明朝" w:hAnsi="ＭＳ 明朝"/>
        </w:rPr>
        <w:t>eGFR (mL/</w:t>
      </w:r>
      <w:r w:rsidRPr="00EC44EA">
        <w:rPr>
          <w:rFonts w:ascii="ＭＳ 明朝" w:hAnsi="ＭＳ 明朝" w:hint="eastAsia"/>
        </w:rPr>
        <w:t>分</w:t>
      </w:r>
      <w:r w:rsidRPr="00EC44EA">
        <w:rPr>
          <w:rFonts w:ascii="ＭＳ 明朝" w:hAnsi="ＭＳ 明朝"/>
        </w:rPr>
        <w:t xml:space="preserve">/1.73 </w:t>
      </w:r>
      <w:r w:rsidRPr="00EC44EA">
        <w:rPr>
          <w:rFonts w:ascii="ＭＳ 明朝" w:hAnsi="ＭＳ 明朝" w:hint="eastAsia"/>
        </w:rPr>
        <w:t>㎡</w:t>
      </w:r>
      <w:r w:rsidRPr="00EC44EA">
        <w:rPr>
          <w:rFonts w:ascii="ＭＳ 明朝" w:hAnsi="ＭＳ 明朝"/>
        </w:rPr>
        <w:t>) = 194</w:t>
      </w:r>
      <w:r w:rsidRPr="00EC44EA">
        <w:rPr>
          <w:rFonts w:ascii="ＭＳ 明朝" w:hAnsi="ＭＳ 明朝" w:hint="eastAsia"/>
        </w:rPr>
        <w:t>×</w:t>
      </w:r>
      <w:r w:rsidRPr="00EC44EA">
        <w:rPr>
          <w:rFonts w:ascii="ＭＳ 明朝" w:hAnsi="ＭＳ 明朝"/>
        </w:rPr>
        <w:t>Cr</w:t>
      </w:r>
      <w:r w:rsidRPr="00EC44EA">
        <w:rPr>
          <w:rFonts w:ascii="ＭＳ 明朝" w:hAnsi="ＭＳ 明朝"/>
          <w:vertAlign w:val="superscript"/>
        </w:rPr>
        <w:t>-1.094</w:t>
      </w:r>
      <w:r w:rsidRPr="00EC44EA">
        <w:rPr>
          <w:rFonts w:ascii="ＭＳ 明朝" w:hAnsi="ＭＳ 明朝" w:hint="eastAsia"/>
        </w:rPr>
        <w:t>×年齢</w:t>
      </w:r>
      <w:r w:rsidRPr="00EC44EA">
        <w:rPr>
          <w:rFonts w:ascii="ＭＳ 明朝" w:hAnsi="ＭＳ 明朝"/>
          <w:vertAlign w:val="superscript"/>
        </w:rPr>
        <w:t>-0.287</w:t>
      </w:r>
      <w:r w:rsidRPr="00EC44EA">
        <w:rPr>
          <w:rFonts w:ascii="ＭＳ 明朝" w:hAnsi="ＭＳ 明朝" w:hint="eastAsia"/>
        </w:rPr>
        <w:t>×</w:t>
      </w:r>
      <w:r w:rsidRPr="00EC44EA">
        <w:rPr>
          <w:rFonts w:ascii="ＭＳ 明朝" w:hAnsi="ＭＳ 明朝"/>
        </w:rPr>
        <w:t xml:space="preserve">0.739 </w:t>
      </w:r>
      <w:r w:rsidRPr="00EC44EA">
        <w:rPr>
          <w:rFonts w:ascii="ＭＳ 明朝" w:hAnsi="ＭＳ 明朝"/>
        </w:rPr>
        <w:tab/>
      </w:r>
      <w:r w:rsidRPr="00EC44EA">
        <w:rPr>
          <w:rFonts w:ascii="ＭＳ 明朝" w:hAnsi="ＭＳ 明朝" w:hint="eastAsia"/>
        </w:rPr>
        <w:t>（女性）</w:t>
      </w:r>
    </w:p>
    <w:p w:rsidR="00616A6C" w:rsidRPr="00EC44EA" w:rsidRDefault="00616A6C" w:rsidP="00BB41F1">
      <w:pPr>
        <w:pStyle w:val="ListParagraph"/>
        <w:ind w:left="31680"/>
        <w:rPr>
          <w:rFonts w:ascii="ＭＳ 明朝"/>
          <w:sz w:val="20"/>
          <w:szCs w:val="20"/>
        </w:rPr>
      </w:pPr>
    </w:p>
    <w:p w:rsidR="00616A6C" w:rsidRDefault="00616A6C">
      <w:r>
        <w:rPr>
          <w:rFonts w:hint="eastAsia"/>
        </w:rPr>
        <w:t xml:space="preserve">　日本小児腎臓病学会の</w:t>
      </w:r>
      <w:r>
        <w:t>eGFR</w:t>
      </w:r>
      <w:r>
        <w:rPr>
          <w:rFonts w:hint="eastAsia"/>
        </w:rPr>
        <w:t>推算式（</w:t>
      </w:r>
      <w:r>
        <w:t>19</w:t>
      </w:r>
      <w:r>
        <w:rPr>
          <w:rFonts w:hint="eastAsia"/>
        </w:rPr>
        <w:t>歳未満に適応）</w:t>
      </w:r>
    </w:p>
    <w:p w:rsidR="00616A6C" w:rsidRPr="00BC7AA4" w:rsidRDefault="00616A6C" w:rsidP="00BB41F1">
      <w:pPr>
        <w:ind w:firstLineChars="392" w:firstLine="31680"/>
        <w:rPr>
          <w:bCs/>
        </w:rPr>
      </w:pPr>
      <w:r w:rsidRPr="00BC7AA4">
        <w:rPr>
          <w:bCs/>
        </w:rPr>
        <w:t>eGFR =110.2</w:t>
      </w:r>
      <w:r w:rsidRPr="00BC7AA4">
        <w:t xml:space="preserve"> </w:t>
      </w:r>
      <w:r w:rsidRPr="00BC7AA4">
        <w:rPr>
          <w:bCs/>
          <w:lang w:val="pt-BR"/>
        </w:rPr>
        <w:t>x (reference serum Cr/patient’s serum Cr) +</w:t>
      </w:r>
      <w:r w:rsidRPr="00BC7AA4">
        <w:rPr>
          <w:bCs/>
        </w:rPr>
        <w:t>2.93</w:t>
      </w:r>
    </w:p>
    <w:p w:rsidR="00616A6C" w:rsidRPr="00BC7AA4" w:rsidRDefault="00616A6C" w:rsidP="00BB41F1">
      <w:pPr>
        <w:ind w:firstLineChars="392" w:firstLine="31680"/>
      </w:pPr>
    </w:p>
    <w:p w:rsidR="00616A6C" w:rsidRPr="00BC7AA4" w:rsidRDefault="00616A6C" w:rsidP="00BB41F1">
      <w:pPr>
        <w:ind w:firstLineChars="392" w:firstLine="31680"/>
        <w:rPr>
          <w:bCs/>
        </w:rPr>
      </w:pPr>
      <w:r w:rsidRPr="00BC7AA4">
        <w:rPr>
          <w:bCs/>
        </w:rPr>
        <w:t>Reference serum Cr</w:t>
      </w:r>
      <w:r w:rsidRPr="00BC7AA4">
        <w:rPr>
          <w:rFonts w:hint="eastAsia"/>
          <w:bCs/>
        </w:rPr>
        <w:t>は身長より以下の計算式で求める</w:t>
      </w:r>
    </w:p>
    <w:p w:rsidR="00616A6C" w:rsidRPr="00BC7AA4" w:rsidRDefault="00616A6C" w:rsidP="00BB41F1">
      <w:pPr>
        <w:ind w:firstLineChars="498" w:firstLine="31680"/>
      </w:pPr>
      <w:r w:rsidRPr="00BC7AA4">
        <w:rPr>
          <w:rFonts w:hint="eastAsia"/>
          <w:bCs/>
          <w:lang w:val="fr-FR"/>
        </w:rPr>
        <w:t>男児</w:t>
      </w:r>
      <w:r w:rsidRPr="00BC7AA4">
        <w:rPr>
          <w:bCs/>
          <w:lang w:val="fr-FR"/>
        </w:rPr>
        <w:t>: y =-1.259x</w:t>
      </w:r>
      <w:r w:rsidRPr="00BC7AA4">
        <w:rPr>
          <w:bCs/>
          <w:vertAlign w:val="superscript"/>
          <w:lang w:val="fr-FR"/>
        </w:rPr>
        <w:t>5</w:t>
      </w:r>
      <w:r w:rsidRPr="00BC7AA4">
        <w:rPr>
          <w:bCs/>
          <w:lang w:val="fr-FR"/>
        </w:rPr>
        <w:t xml:space="preserve"> +7.815x</w:t>
      </w:r>
      <w:r w:rsidRPr="00BC7AA4">
        <w:rPr>
          <w:bCs/>
          <w:vertAlign w:val="superscript"/>
          <w:lang w:val="fr-FR"/>
        </w:rPr>
        <w:t>4</w:t>
      </w:r>
      <w:r w:rsidRPr="00BC7AA4">
        <w:rPr>
          <w:bCs/>
          <w:lang w:val="fr-FR"/>
        </w:rPr>
        <w:t xml:space="preserve"> -18.57x</w:t>
      </w:r>
      <w:r w:rsidRPr="00BC7AA4">
        <w:rPr>
          <w:bCs/>
          <w:vertAlign w:val="superscript"/>
          <w:lang w:val="fr-FR"/>
        </w:rPr>
        <w:t>3</w:t>
      </w:r>
      <w:r w:rsidRPr="00BC7AA4">
        <w:rPr>
          <w:bCs/>
        </w:rPr>
        <w:t>+21.39x</w:t>
      </w:r>
      <w:r w:rsidRPr="00BC7AA4">
        <w:rPr>
          <w:bCs/>
          <w:vertAlign w:val="superscript"/>
        </w:rPr>
        <w:t>2</w:t>
      </w:r>
      <w:r w:rsidRPr="00BC7AA4">
        <w:rPr>
          <w:bCs/>
        </w:rPr>
        <w:t xml:space="preserve"> -11.71x + 2.628</w:t>
      </w:r>
    </w:p>
    <w:p w:rsidR="00616A6C" w:rsidRPr="00BC7AA4" w:rsidRDefault="00616A6C" w:rsidP="00BB41F1">
      <w:pPr>
        <w:ind w:firstLineChars="498" w:firstLine="31680"/>
      </w:pPr>
      <w:r w:rsidRPr="00BC7AA4">
        <w:rPr>
          <w:rFonts w:hint="eastAsia"/>
          <w:bCs/>
        </w:rPr>
        <w:t>女児</w:t>
      </w:r>
      <w:r w:rsidRPr="00BC7AA4">
        <w:rPr>
          <w:bCs/>
          <w:lang w:val="fr-FR"/>
        </w:rPr>
        <w:t xml:space="preserve">: y </w:t>
      </w:r>
      <w:r w:rsidRPr="00BC7AA4">
        <w:rPr>
          <w:bCs/>
        </w:rPr>
        <w:t>=-</w:t>
      </w:r>
      <w:r w:rsidRPr="00BC7AA4">
        <w:rPr>
          <w:bCs/>
          <w:lang w:val="fr-FR"/>
        </w:rPr>
        <w:t>4.536x</w:t>
      </w:r>
      <w:r w:rsidRPr="00BC7AA4">
        <w:rPr>
          <w:bCs/>
          <w:vertAlign w:val="superscript"/>
          <w:lang w:val="fr-FR"/>
        </w:rPr>
        <w:t>5</w:t>
      </w:r>
      <w:r w:rsidRPr="00BC7AA4">
        <w:rPr>
          <w:bCs/>
          <w:lang w:val="fr-FR"/>
        </w:rPr>
        <w:t xml:space="preserve"> +27.16x</w:t>
      </w:r>
      <w:r w:rsidRPr="00BC7AA4">
        <w:rPr>
          <w:bCs/>
          <w:vertAlign w:val="superscript"/>
          <w:lang w:val="fr-FR"/>
        </w:rPr>
        <w:t>4</w:t>
      </w:r>
      <w:r w:rsidRPr="00BC7AA4">
        <w:rPr>
          <w:bCs/>
          <w:lang w:val="fr-FR"/>
        </w:rPr>
        <w:t xml:space="preserve"> -63.47x</w:t>
      </w:r>
      <w:r w:rsidRPr="00BC7AA4">
        <w:rPr>
          <w:bCs/>
          <w:vertAlign w:val="superscript"/>
          <w:lang w:val="fr-FR"/>
        </w:rPr>
        <w:t>3</w:t>
      </w:r>
      <w:r w:rsidRPr="00BC7AA4">
        <w:rPr>
          <w:bCs/>
        </w:rPr>
        <w:t>+ 72.43x</w:t>
      </w:r>
      <w:r w:rsidRPr="00BC7AA4">
        <w:rPr>
          <w:bCs/>
          <w:vertAlign w:val="superscript"/>
        </w:rPr>
        <w:t>2</w:t>
      </w:r>
      <w:r w:rsidRPr="00BC7AA4">
        <w:rPr>
          <w:bCs/>
        </w:rPr>
        <w:t xml:space="preserve"> -40.06x +8.778</w:t>
      </w:r>
    </w:p>
    <w:p w:rsidR="00616A6C" w:rsidRDefault="00616A6C"/>
    <w:p w:rsidR="00616A6C" w:rsidRPr="0016650F" w:rsidRDefault="00616A6C">
      <w:r>
        <w:t xml:space="preserve">      </w:t>
      </w:r>
      <w:r>
        <w:rPr>
          <w:rFonts w:hint="eastAsia"/>
        </w:rPr>
        <w:t>複雑な計算式のため添付の</w:t>
      </w:r>
      <w:r>
        <w:t>EXCEL</w:t>
      </w:r>
      <w:r>
        <w:rPr>
          <w:rFonts w:hint="eastAsia"/>
        </w:rPr>
        <w:t>にて算出してください</w:t>
      </w:r>
    </w:p>
    <w:sectPr w:rsidR="00616A6C" w:rsidRPr="0016650F" w:rsidSect="004C41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5495"/>
    <w:multiLevelType w:val="hybridMultilevel"/>
    <w:tmpl w:val="2F6E1578"/>
    <w:lvl w:ilvl="0" w:tplc="77D0E3B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D9A55EA"/>
    <w:multiLevelType w:val="hybridMultilevel"/>
    <w:tmpl w:val="7624A7BA"/>
    <w:lvl w:ilvl="0" w:tplc="0DDE7880">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ED315AA"/>
    <w:multiLevelType w:val="hybridMultilevel"/>
    <w:tmpl w:val="EFC85AA2"/>
    <w:lvl w:ilvl="0" w:tplc="DAD0DFCC">
      <w:start w:val="1"/>
      <w:numFmt w:val="decimalFullWidth"/>
      <w:lvlText w:val="%1）"/>
      <w:lvlJc w:val="left"/>
      <w:pPr>
        <w:ind w:left="360" w:hanging="360"/>
      </w:pPr>
      <w:rPr>
        <w:rFonts w:cs="Times New Roman" w:hint="default"/>
      </w:rPr>
    </w:lvl>
    <w:lvl w:ilvl="1" w:tplc="851ADCFE">
      <w:start w:val="1"/>
      <w:numFmt w:val="decimalFullWidth"/>
      <w:lvlText w:val="%2）"/>
      <w:lvlJc w:val="left"/>
      <w:pPr>
        <w:ind w:left="810" w:hanging="390"/>
      </w:pPr>
      <w:rPr>
        <w:rFonts w:cs="Times New Roman" w:hint="default"/>
      </w:rPr>
    </w:lvl>
    <w:lvl w:ilvl="2" w:tplc="5412AE42">
      <w:start w:val="1"/>
      <w:numFmt w:val="decimalFullWidth"/>
      <w:lvlText w:val="（%3）"/>
      <w:lvlJc w:val="left"/>
      <w:pPr>
        <w:ind w:left="1560" w:hanging="72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B29"/>
    <w:rsid w:val="0001389D"/>
    <w:rsid w:val="00023E7E"/>
    <w:rsid w:val="0005225A"/>
    <w:rsid w:val="000B57DD"/>
    <w:rsid w:val="0016650F"/>
    <w:rsid w:val="001A2F2C"/>
    <w:rsid w:val="001D11F3"/>
    <w:rsid w:val="0021249E"/>
    <w:rsid w:val="004A09CD"/>
    <w:rsid w:val="004C41A0"/>
    <w:rsid w:val="004E08F4"/>
    <w:rsid w:val="005C7673"/>
    <w:rsid w:val="00616A6C"/>
    <w:rsid w:val="00626C2C"/>
    <w:rsid w:val="006D5B29"/>
    <w:rsid w:val="006E7DBC"/>
    <w:rsid w:val="00730975"/>
    <w:rsid w:val="007570B1"/>
    <w:rsid w:val="007F78BF"/>
    <w:rsid w:val="008C6DFC"/>
    <w:rsid w:val="008F7122"/>
    <w:rsid w:val="009B567C"/>
    <w:rsid w:val="00A1788B"/>
    <w:rsid w:val="00A37591"/>
    <w:rsid w:val="00A435DE"/>
    <w:rsid w:val="00B42548"/>
    <w:rsid w:val="00BA2CDB"/>
    <w:rsid w:val="00BB41F1"/>
    <w:rsid w:val="00BC7AA4"/>
    <w:rsid w:val="00C502DB"/>
    <w:rsid w:val="00CD6173"/>
    <w:rsid w:val="00D22455"/>
    <w:rsid w:val="00EC4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2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5B29"/>
    <w:pPr>
      <w:ind w:leftChars="400" w:left="840"/>
    </w:pPr>
  </w:style>
  <w:style w:type="character" w:styleId="Hyperlink">
    <w:name w:val="Hyperlink"/>
    <w:basedOn w:val="DefaultParagraphFont"/>
    <w:uiPriority w:val="99"/>
    <w:rsid w:val="0016650F"/>
    <w:rPr>
      <w:rFonts w:cs="Times New Roman"/>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20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ozumi@masuko.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355</Words>
  <Characters>2024</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先行的献腎移植登録審査基準の変更に関するお知らせとお願い　</dc:title>
  <dc:subject/>
  <dc:creator>kunio0210</dc:creator>
  <cp:keywords/>
  <dc:description/>
  <cp:lastModifiedBy>orgtx</cp:lastModifiedBy>
  <cp:revision>3</cp:revision>
  <dcterms:created xsi:type="dcterms:W3CDTF">2015-07-10T02:16:00Z</dcterms:created>
  <dcterms:modified xsi:type="dcterms:W3CDTF">2015-07-10T02:17:00Z</dcterms:modified>
</cp:coreProperties>
</file>